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30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highlight w:val="white"/>
        </w:rPr>
        <w:t>Информация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 w:val="1"/>
          <w:sz w:val="24"/>
          <w:highlight w:val="white"/>
        </w:rPr>
        <w:t xml:space="preserve">о результатах </w:t>
      </w:r>
      <w:r>
        <w:rPr>
          <w:rFonts w:ascii="Times New Roman" w:hAnsi="Times New Roman"/>
          <w:b w:val="1"/>
          <w:sz w:val="24"/>
          <w:highlight w:val="white"/>
        </w:rPr>
        <w:t>экспертизы проекта решения</w:t>
      </w:r>
      <w:r>
        <w:rPr>
          <w:rFonts w:ascii="Times New Roman" w:hAnsi="Times New Roman"/>
          <w:b w:val="1"/>
          <w:sz w:val="24"/>
          <w:highlight w:val="white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«О внесении изменений в решение Совета депутатов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Нижегородской области от 23.12.2025 года №104 «О бюджете </w:t>
      </w:r>
      <w:r>
        <w:rPr>
          <w:rFonts w:ascii="Times New Roman" w:hAnsi="Times New Roman"/>
          <w:b w:val="1"/>
          <w:sz w:val="24"/>
        </w:rPr>
        <w:t>Шарангского</w:t>
      </w:r>
      <w:r>
        <w:rPr>
          <w:rFonts w:ascii="Times New Roman" w:hAnsi="Times New Roman"/>
          <w:b w:val="1"/>
          <w:sz w:val="24"/>
        </w:rPr>
        <w:t xml:space="preserve"> муниципального округа на 2026 год и на плановый период 2027 и 2028 годов»»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02000000">
      <w:pPr>
        <w:ind w:firstLine="567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На основании пункта 1.4 плана работы Контрольно-счетной комиссии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на 2026 год, утвержденного распоряжение</w:t>
      </w:r>
      <w:r>
        <w:rPr>
          <w:rFonts w:ascii="Times New Roman" w:hAnsi="Times New Roman"/>
          <w:sz w:val="28"/>
          <w:highlight w:val="white"/>
        </w:rPr>
        <w:t xml:space="preserve">м Контрольно-счетной комиссии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от 26.12.2025 № 19 проведена экспертиза проекта решения Совета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«</w:t>
      </w:r>
      <w:r>
        <w:rPr>
          <w:rFonts w:ascii="Times New Roman" w:hAnsi="Times New Roman"/>
          <w:sz w:val="28"/>
        </w:rPr>
        <w:t xml:space="preserve">О внесении изменений в решение Совета депутатов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от 23.12.2025 года №104 «О бюджете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на 2026 год и на плановый период 2027 и 2028 годов»»</w:t>
      </w:r>
      <w:r>
        <w:rPr>
          <w:rFonts w:ascii="Times New Roman" w:hAnsi="Times New Roman"/>
          <w:sz w:val="28"/>
          <w:highlight w:val="white"/>
        </w:rPr>
        <w:t xml:space="preserve">, направленного Советом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</w:t>
      </w:r>
      <w:r>
        <w:rPr>
          <w:rFonts w:ascii="Times New Roman" w:hAnsi="Times New Roman"/>
          <w:sz w:val="28"/>
          <w:highlight w:val="white"/>
        </w:rPr>
        <w:t>округа Нижегородской области</w:t>
      </w:r>
      <w:r>
        <w:rPr>
          <w:rFonts w:ascii="Times New Roman" w:hAnsi="Times New Roman"/>
          <w:sz w:val="28"/>
        </w:rPr>
        <w:t>, в соотв</w:t>
      </w:r>
      <w:r>
        <w:rPr>
          <w:rFonts w:ascii="Times New Roman" w:hAnsi="Times New Roman"/>
          <w:sz w:val="28"/>
          <w:highlight w:val="white"/>
        </w:rPr>
        <w:t xml:space="preserve">етствии с решением Совета депутатов </w:t>
      </w:r>
      <w:r>
        <w:rPr>
          <w:rFonts w:ascii="Times New Roman" w:hAnsi="Times New Roman"/>
          <w:sz w:val="28"/>
          <w:highlight w:val="white"/>
        </w:rPr>
        <w:t>Шарангского</w:t>
      </w:r>
      <w:r>
        <w:rPr>
          <w:rFonts w:ascii="Times New Roman" w:hAnsi="Times New Roman"/>
          <w:sz w:val="28"/>
          <w:highlight w:val="white"/>
        </w:rPr>
        <w:t xml:space="preserve"> муниципального округа Нижегородской области от 27.10.2022 №25 «Об утверждении Положения о бюджетном процессе в </w:t>
      </w:r>
      <w:r>
        <w:rPr>
          <w:rFonts w:ascii="Times New Roman" w:hAnsi="Times New Roman"/>
          <w:sz w:val="28"/>
          <w:highlight w:val="white"/>
        </w:rPr>
        <w:t>Шарангском</w:t>
      </w:r>
      <w:r>
        <w:rPr>
          <w:rFonts w:ascii="Times New Roman" w:hAnsi="Times New Roman"/>
          <w:sz w:val="28"/>
          <w:highlight w:val="white"/>
        </w:rPr>
        <w:t xml:space="preserve"> муниципал</w:t>
      </w:r>
      <w:r>
        <w:rPr>
          <w:rFonts w:ascii="Times New Roman" w:hAnsi="Times New Roman"/>
          <w:sz w:val="28"/>
          <w:highlight w:val="white"/>
        </w:rPr>
        <w:t>ьном округе Нижегородской области».</w:t>
      </w:r>
    </w:p>
    <w:p w14:paraId="03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Внесение изменений </w:t>
      </w:r>
      <w:r>
        <w:rPr>
          <w:rFonts w:ascii="Times New Roman" w:hAnsi="Times New Roman"/>
          <w:sz w:val="28"/>
        </w:rPr>
        <w:t>связано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 изменением объема безвозмездных поступлений из </w:t>
      </w:r>
      <w:r>
        <w:rPr>
          <w:rFonts w:ascii="Times New Roman" w:hAnsi="Times New Roman"/>
          <w:sz w:val="28"/>
        </w:rPr>
        <w:t>вышестоящих</w:t>
      </w:r>
      <w:r>
        <w:rPr>
          <w:rFonts w:ascii="Times New Roman" w:hAnsi="Times New Roman"/>
          <w:sz w:val="28"/>
        </w:rPr>
        <w:t xml:space="preserve"> бюджет</w:t>
      </w:r>
      <w:r>
        <w:rPr>
          <w:rFonts w:ascii="Times New Roman" w:hAnsi="Times New Roman"/>
          <w:sz w:val="28"/>
        </w:rPr>
        <w:t>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уточнением остатков нецелевых средств, сложившихся по состоянию на 1 января 202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>, перераспределением бюджетных ассигнований между кодами бюджетной классификации.</w:t>
      </w:r>
    </w:p>
    <w:p w14:paraId="04000000">
      <w:pPr>
        <w:ind w:firstLine="567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В результате вносимых изменений основные параметры бюджета Шарангского муниципального округа составят:</w:t>
      </w:r>
    </w:p>
    <w:p w14:paraId="05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2026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доходы: </w:t>
      </w:r>
      <w:r>
        <w:rPr>
          <w:rFonts w:ascii="Times New Roman" w:hAnsi="Times New Roman"/>
          <w:sz w:val="28"/>
        </w:rPr>
        <w:t>1 128 209,1</w:t>
      </w:r>
      <w:r>
        <w:rPr>
          <w:rFonts w:ascii="Times New Roman" w:hAnsi="Times New Roman"/>
          <w:sz w:val="28"/>
        </w:rPr>
        <w:t xml:space="preserve"> тыс. рублей (уменьшены</w:t>
      </w:r>
      <w:r>
        <w:rPr>
          <w:rFonts w:ascii="Times New Roman" w:hAnsi="Times New Roman"/>
          <w:sz w:val="28"/>
        </w:rPr>
        <w:t xml:space="preserve"> на 1 729,3</w:t>
      </w:r>
      <w:r>
        <w:rPr>
          <w:rFonts w:ascii="Times New Roman" w:hAnsi="Times New Roman"/>
          <w:sz w:val="28"/>
        </w:rPr>
        <w:t xml:space="preserve"> тыс. рублей);</w:t>
      </w:r>
    </w:p>
    <w:p w14:paraId="06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1 140 603,3</w:t>
      </w:r>
      <w:r>
        <w:rPr>
          <w:rFonts w:ascii="Times New Roman" w:hAnsi="Times New Roman"/>
          <w:sz w:val="28"/>
        </w:rPr>
        <w:t xml:space="preserve"> тыс. рублей (увеличены </w:t>
      </w:r>
      <w:r>
        <w:rPr>
          <w:rFonts w:ascii="Times New Roman" w:hAnsi="Times New Roman"/>
          <w:sz w:val="28"/>
        </w:rPr>
        <w:t xml:space="preserve">на 10 664,9 </w:t>
      </w:r>
      <w:r>
        <w:rPr>
          <w:rFonts w:ascii="Times New Roman" w:hAnsi="Times New Roman"/>
          <w:sz w:val="28"/>
        </w:rPr>
        <w:t>тыс. рублей);</w:t>
      </w:r>
    </w:p>
    <w:p w14:paraId="07000000">
      <w:pPr>
        <w:ind w:firstLine="0" w:left="567"/>
        <w:jc w:val="lef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дефицит: 12 394,2</w:t>
      </w:r>
      <w:r>
        <w:rPr>
          <w:rFonts w:ascii="Times New Roman" w:hAnsi="Times New Roman"/>
          <w:sz w:val="28"/>
        </w:rPr>
        <w:t xml:space="preserve"> тыс. рублей (увеличен на 12 394,2 тыс. рублей</w:t>
      </w:r>
      <w:r>
        <w:rPr>
          <w:rFonts w:ascii="Times New Roman" w:hAnsi="Times New Roman"/>
          <w:sz w:val="28"/>
        </w:rPr>
        <w:t>);</w:t>
      </w:r>
    </w:p>
    <w:p w14:paraId="08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2027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доходы: 922 603,7 </w:t>
      </w:r>
      <w:r>
        <w:rPr>
          <w:rFonts w:ascii="Times New Roman" w:hAnsi="Times New Roman"/>
          <w:sz w:val="28"/>
        </w:rPr>
        <w:t xml:space="preserve"> тыс. рублей (уменьшены на 2 504,2 тыс. рублей</w:t>
      </w:r>
      <w:r>
        <w:rPr>
          <w:rFonts w:ascii="Times New Roman" w:hAnsi="Times New Roman"/>
          <w:sz w:val="28"/>
        </w:rPr>
        <w:t>);</w:t>
      </w:r>
    </w:p>
    <w:p w14:paraId="09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расходы: 922 603,7</w:t>
      </w:r>
      <w:r>
        <w:rPr>
          <w:rFonts w:ascii="Times New Roman" w:hAnsi="Times New Roman"/>
          <w:sz w:val="28"/>
        </w:rPr>
        <w:t xml:space="preserve"> тыс. рублей (уменьшены на 2 504,2 тыс. рублей</w:t>
      </w:r>
      <w:r>
        <w:rPr>
          <w:rFonts w:ascii="Times New Roman" w:hAnsi="Times New Roman"/>
          <w:sz w:val="28"/>
        </w:rPr>
        <w:t>);</w:t>
      </w:r>
    </w:p>
    <w:p w14:paraId="0A000000">
      <w:pPr>
        <w:ind w:hanging="0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дефицит: 0,0 тыс. рублей (без изменений);</w:t>
      </w:r>
    </w:p>
    <w:p w14:paraId="0B000000">
      <w:pPr>
        <w:ind w:hanging="567" w:left="567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на 2028 год: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доходы:  958 585,4</w:t>
      </w:r>
      <w:r>
        <w:rPr>
          <w:rFonts w:ascii="Times New Roman" w:hAnsi="Times New Roman"/>
          <w:sz w:val="28"/>
        </w:rPr>
        <w:t xml:space="preserve"> тыс. рублей (уменьшены на 7 722,8 тыс. рублей</w:t>
      </w:r>
      <w:r>
        <w:rPr>
          <w:rFonts w:ascii="Times New Roman" w:hAnsi="Times New Roman"/>
          <w:sz w:val="28"/>
        </w:rPr>
        <w:t>);</w:t>
      </w:r>
    </w:p>
    <w:p w14:paraId="0C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расходы: 958 585,4 </w:t>
      </w:r>
      <w:r>
        <w:rPr>
          <w:rFonts w:ascii="Times New Roman" w:hAnsi="Times New Roman"/>
          <w:sz w:val="28"/>
        </w:rPr>
        <w:t>тыс. рублей (уменьшены на 7 722,8 тыс. рублей</w:t>
      </w:r>
      <w:r>
        <w:rPr>
          <w:rFonts w:ascii="Times New Roman" w:hAnsi="Times New Roman"/>
          <w:sz w:val="28"/>
        </w:rPr>
        <w:t>);</w:t>
      </w:r>
    </w:p>
    <w:p w14:paraId="0D000000">
      <w:pPr>
        <w:spacing w:line="276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дефицит: 0,0 тыс. рублей (без изменений)</w:t>
      </w:r>
      <w:r>
        <w:rPr>
          <w:rFonts w:ascii="Times New Roman" w:hAnsi="Times New Roman"/>
          <w:sz w:val="26"/>
        </w:rPr>
        <w:t>.</w:t>
      </w:r>
    </w:p>
    <w:p w14:paraId="0E000000">
      <w:pPr>
        <w:spacing w:after="300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проведенной экспертизы Контрольно-</w:t>
      </w:r>
      <w:r>
        <w:rPr>
          <w:rFonts w:ascii="Times New Roman" w:hAnsi="Times New Roman"/>
          <w:sz w:val="28"/>
        </w:rPr>
        <w:t xml:space="preserve">счетной комиссией </w:t>
      </w:r>
      <w:r>
        <w:rPr>
          <w:rFonts w:ascii="Times New Roman" w:hAnsi="Times New Roman"/>
          <w:sz w:val="28"/>
        </w:rPr>
        <w:t>Шарангского</w:t>
      </w:r>
      <w:r>
        <w:rPr>
          <w:rFonts w:ascii="Times New Roman" w:hAnsi="Times New Roman"/>
          <w:sz w:val="28"/>
        </w:rPr>
        <w:t xml:space="preserve"> муниципального округа Нижегородской области подготовлено заключение бе</w:t>
      </w:r>
      <w:r>
        <w:rPr>
          <w:rFonts w:ascii="Times New Roman" w:hAnsi="Times New Roman"/>
          <w:sz w:val="28"/>
          <w:highlight w:val="white"/>
        </w:rPr>
        <w:t>з замечаний и предложений.</w:t>
      </w:r>
    </w:p>
    <w:p w14:paraId="0F000000">
      <w:pPr>
        <w:spacing w:after="300"/>
        <w:ind w:firstLine="567" w:left="0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Председатель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А.М. Киселева</w:t>
      </w:r>
    </w:p>
    <w:p w14:paraId="10000000">
      <w:pPr>
        <w:spacing w:after="300"/>
        <w:ind w:firstLine="0" w:lef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20.02.2026</w:t>
      </w:r>
    </w:p>
    <w:sectPr>
      <w:pgSz w:h="16838" w:orient="portrait" w:w="11906"/>
      <w:pgMar w:bottom="1134" w:footer="720" w:gutter="0" w:header="720" w:left="1304" w:right="73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sz w:val="28"/>
    </w:rPr>
  </w:style>
  <w:style w:styleId="Style_3_ch" w:type="character">
    <w:name w:val="toc 4"/>
    <w:link w:val="Style_3"/>
    <w:rPr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sz w:val="28"/>
    </w:rPr>
  </w:style>
  <w:style w:styleId="Style_4_ch" w:type="character">
    <w:name w:val="toc 6"/>
    <w:link w:val="Style_4"/>
    <w:rPr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sz w:val="28"/>
    </w:rPr>
  </w:style>
  <w:style w:styleId="Style_5_ch" w:type="character">
    <w:name w:val="toc 7"/>
    <w:link w:val="Style_5"/>
    <w:rPr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6_ch" w:type="character">
    <w:name w:val="heading 3"/>
    <w:link w:val="Style_6"/>
    <w:rPr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</w:pPr>
    <w:rPr>
      <w:sz w:val="28"/>
    </w:rPr>
  </w:style>
  <w:style w:styleId="Style_7_ch" w:type="character">
    <w:name w:val="toc 3"/>
    <w:link w:val="Style_7"/>
    <w:rPr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8_ch" w:type="character">
    <w:name w:val="heading 5"/>
    <w:link w:val="Style_8"/>
    <w:rPr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9_ch" w:type="character">
    <w:name w:val="heading 1"/>
    <w:link w:val="Style_9"/>
    <w:rPr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sz w:val="22"/>
    </w:rPr>
  </w:style>
  <w:style w:styleId="Style_11_ch" w:type="character">
    <w:name w:val="Footnote"/>
    <w:link w:val="Style_11"/>
    <w:rPr>
      <w:sz w:val="22"/>
    </w:rPr>
  </w:style>
  <w:style w:styleId="Style_12" w:type="paragraph">
    <w:name w:val="toc 1"/>
    <w:next w:val="Style_1"/>
    <w:link w:val="Style_12_ch"/>
    <w:uiPriority w:val="39"/>
    <w:rPr>
      <w:b w:val="1"/>
      <w:sz w:val="28"/>
    </w:rPr>
  </w:style>
  <w:style w:styleId="Style_12_ch" w:type="character">
    <w:name w:val="toc 1"/>
    <w:link w:val="Style_12"/>
    <w:rPr>
      <w:b w:val="1"/>
      <w:sz w:val="28"/>
    </w:rPr>
  </w:style>
  <w:style w:styleId="Style_13" w:type="paragraph">
    <w:name w:val="Header and Footer"/>
    <w:link w:val="Style_13_ch"/>
    <w:pPr>
      <w:ind/>
      <w:jc w:val="both"/>
    </w:pPr>
    <w:rPr>
      <w:sz w:val="20"/>
    </w:rPr>
  </w:style>
  <w:style w:styleId="Style_13_ch" w:type="character">
    <w:name w:val="Header and Footer"/>
    <w:link w:val="Style_13"/>
    <w:rPr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  <w:rPr>
      <w:sz w:val="28"/>
    </w:rPr>
  </w:style>
  <w:style w:styleId="Style_14_ch" w:type="character">
    <w:name w:val="toc 9"/>
    <w:link w:val="Style_14"/>
    <w:rPr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</w:pPr>
    <w:rPr>
      <w:sz w:val="28"/>
    </w:rPr>
  </w:style>
  <w:style w:styleId="Style_15_ch" w:type="character">
    <w:name w:val="toc 8"/>
    <w:link w:val="Style_15"/>
    <w:rPr>
      <w:sz w:val="28"/>
    </w:rPr>
  </w:style>
  <w:style w:styleId="Style_16" w:type="paragraph">
    <w:name w:val="Гиперссылка1"/>
    <w:link w:val="Style_16_ch"/>
    <w:rPr>
      <w:color w:val="0000FF"/>
      <w:u w:val="single"/>
    </w:rPr>
  </w:style>
  <w:style w:styleId="Style_16_ch" w:type="character">
    <w:name w:val="Гиперссылка1"/>
    <w:link w:val="Style_16"/>
    <w:rPr>
      <w:color w:val="0000FF"/>
      <w:u w:val="single"/>
    </w:rPr>
  </w:style>
  <w:style w:styleId="Style_17" w:type="paragraph">
    <w:name w:val="Обычный1"/>
    <w:link w:val="Style_17_ch"/>
    <w:rPr>
      <w:rFonts w:ascii="XO Thames" w:hAnsi="XO Thames"/>
      <w:sz w:val="28"/>
    </w:rPr>
  </w:style>
  <w:style w:styleId="Style_17_ch" w:type="character">
    <w:name w:val="Обычный1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</w:pPr>
    <w:rPr>
      <w:sz w:val="28"/>
    </w:rPr>
  </w:style>
  <w:style w:styleId="Style_18_ch" w:type="character">
    <w:name w:val="toc 5"/>
    <w:link w:val="Style_18"/>
    <w:rPr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i w:val="1"/>
    </w:rPr>
  </w:style>
  <w:style w:styleId="Style_19_ch" w:type="character">
    <w:name w:val="Subtitle"/>
    <w:link w:val="Style_19"/>
    <w:rPr>
      <w:i w:val="1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1_ch" w:type="character">
    <w:name w:val="Title"/>
    <w:link w:val="Style_21"/>
    <w:rPr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2_ch" w:type="character">
    <w:name w:val="heading 4"/>
    <w:link w:val="Style_22"/>
    <w:rPr>
      <w:b w:val="1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3_ch" w:type="character">
    <w:name w:val="heading 2"/>
    <w:link w:val="Style_23"/>
    <w:rPr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2026-02-26T05:12:28Z</dcterms:modified>
</cp:coreProperties>
</file>